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088D" w14:textId="6FF3E528" w:rsidR="00E072F3" w:rsidRDefault="008B11C4" w:rsidP="00E072F3">
      <w:pPr>
        <w:pStyle w:val="Heading1"/>
        <w:ind w:left="993" w:righ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CU CARACTER PERSONAL PRELUCRATE IN CAZUL PARTICIPANTILOR LA CAMPANIE SI/SAU CASTIGATORILOR CAMPANIE</w:t>
      </w:r>
    </w:p>
    <w:p w14:paraId="25C21643" w14:textId="079DC213" w:rsidR="00CF55B9" w:rsidRDefault="008B11C4" w:rsidP="00E072F3">
      <w:pPr>
        <w:pStyle w:val="Heading1"/>
        <w:ind w:righ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versiune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actualizata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septembrie</w:t>
      </w:r>
      <w:proofErr w:type="spellEnd"/>
      <w:r>
        <w:rPr>
          <w:rFonts w:ascii="Times New Roman" w:hAnsi="Times New Roman" w:cs="Times New Roman"/>
        </w:rPr>
        <w:t xml:space="preserve"> 2018</w:t>
      </w:r>
    </w:p>
    <w:p w14:paraId="21DCD717" w14:textId="77777777" w:rsidR="00CF55B9" w:rsidRDefault="008B11C4">
      <w:pPr>
        <w:pStyle w:val="BodyText"/>
        <w:spacing w:befor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3A1516A" wp14:editId="1EBD35A3">
                <wp:simplePos x="0" y="0"/>
                <wp:positionH relativeFrom="column">
                  <wp:posOffset>-9429115</wp:posOffset>
                </wp:positionH>
                <wp:positionV relativeFrom="paragraph">
                  <wp:posOffset>4432300</wp:posOffset>
                </wp:positionV>
                <wp:extent cx="9200515" cy="2540"/>
                <wp:effectExtent l="10160" t="13335" r="11430" b="5080"/>
                <wp:wrapNone/>
                <wp:docPr id="9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9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6302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25"/>
        <w:gridCol w:w="2013"/>
        <w:gridCol w:w="2566"/>
        <w:gridCol w:w="2307"/>
        <w:gridCol w:w="3679"/>
        <w:gridCol w:w="2812"/>
      </w:tblGrid>
      <w:tr w:rsidR="00CF55B9" w14:paraId="72DB06B2" w14:textId="77777777" w:rsidTr="00CF4BB0">
        <w:trPr>
          <w:trHeight w:val="39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6386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DAE12C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BFD387D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DATE CU CARACTER PERSONAL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F5A3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B18736F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116806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SCOPURILE   PRELUCRARII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B460" w14:textId="77777777" w:rsidR="00CF55B9" w:rsidRDefault="00CF55B9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14:paraId="13A4AD01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CRITERIILE DE STABILIRE A PERIOADEI DE STOCARE A DATELOR CU CARACTER PERSONAL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C8F2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62ADA0" w14:textId="77777777" w:rsidR="00CF55B9" w:rsidRDefault="00CF55B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ABB86D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TEMEIUL JURIDIC AL PRELUCRARII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1D9E" w14:textId="77777777" w:rsidR="00CF55B9" w:rsidRDefault="00CF55B9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7AFFF28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DESTINATARII SAU CATEGORIILE DE DESTINATARI AI PRELUCRARII DATELOR CU CARACTER PERSONAL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6352" w14:textId="77777777" w:rsidR="00CF55B9" w:rsidRDefault="008B11C4">
            <w:pPr>
              <w:pStyle w:val="TableParagraph"/>
              <w:spacing w:line="228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TRANSFERURI DE DATE CU CARACTER PERSONAL IN AFARA UNIUNII EUROPENE SI A </w:t>
            </w:r>
            <w:proofErr w:type="gramStart"/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>SPATIULUI  ECONOMIC</w:t>
            </w:r>
            <w:proofErr w:type="gramEnd"/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 EUROPEAN</w:t>
            </w:r>
          </w:p>
        </w:tc>
      </w:tr>
      <w:tr w:rsidR="00911919" w14:paraId="2D1C2DA9" w14:textId="77777777" w:rsidTr="00CF4BB0">
        <w:trPr>
          <w:trHeight w:val="322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2C7E" w14:textId="77777777" w:rsidR="00911919" w:rsidRDefault="00911919" w:rsidP="00911919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2553" w:type="dxa"/>
              <w:tblLook w:val="0000" w:firstRow="0" w:lastRow="0" w:firstColumn="0" w:lastColumn="0" w:noHBand="0" w:noVBand="0"/>
            </w:tblPr>
            <w:tblGrid>
              <w:gridCol w:w="2553"/>
            </w:tblGrid>
            <w:tr w:rsidR="00911919" w14:paraId="3F3AD473" w14:textId="77777777" w:rsidTr="00A511BB">
              <w:trPr>
                <w:trHeight w:val="969"/>
              </w:trPr>
              <w:tc>
                <w:tcPr>
                  <w:tcW w:w="2553" w:type="dxa"/>
                  <w:shd w:val="clear" w:color="auto" w:fill="auto"/>
                </w:tcPr>
                <w:p w14:paraId="07F9C939" w14:textId="77777777" w:rsidR="00911919" w:rsidRDefault="00911919" w:rsidP="0091191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Pentru participanti (denumiti in continuare “Participanti”): </w:t>
                  </w:r>
                </w:p>
                <w:p w14:paraId="14A95552" w14:textId="77777777" w:rsidR="00911919" w:rsidRDefault="00911919" w:rsidP="0091191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Numar de telefon, vocea si/ sau alte date care pot rezulta din continutul conversatiei in direct, numarul de ordine.</w:t>
                  </w:r>
                </w:p>
              </w:tc>
            </w:tr>
          </w:tbl>
          <w:p w14:paraId="6BF96D36" w14:textId="77777777" w:rsidR="00911919" w:rsidRDefault="00911919" w:rsidP="00911919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2541" w:type="dxa"/>
              <w:tblLook w:val="0000" w:firstRow="0" w:lastRow="0" w:firstColumn="0" w:lastColumn="0" w:noHBand="0" w:noVBand="0"/>
            </w:tblPr>
            <w:tblGrid>
              <w:gridCol w:w="2541"/>
            </w:tblGrid>
            <w:tr w:rsidR="00911919" w14:paraId="68D46D61" w14:textId="77777777" w:rsidTr="00A511BB">
              <w:trPr>
                <w:trHeight w:val="1190"/>
              </w:trPr>
              <w:tc>
                <w:tcPr>
                  <w:tcW w:w="2541" w:type="dxa"/>
                  <w:shd w:val="clear" w:color="auto" w:fill="auto"/>
                </w:tcPr>
                <w:p w14:paraId="5ADFA8A7" w14:textId="77777777" w:rsidR="00911919" w:rsidRDefault="00911919" w:rsidP="0091191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Pentru castigatori (denumiti in continuare “Castigatori”): </w:t>
                  </w:r>
                </w:p>
                <w:p w14:paraId="5155E835" w14:textId="77777777" w:rsidR="00911919" w:rsidRDefault="00911919" w:rsidP="00911919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Pe langa datele cu caracter personal ale Participantilor: nume, prenume, seria și numărul CI,CNP, adresa de livrare a premiilor, semnatura, datele din actul de identitate (care se vizualizeaza doar pentru identificare.</w:t>
                  </w:r>
                </w:p>
                <w:p w14:paraId="67BA156A" w14:textId="77777777" w:rsidR="00911919" w:rsidRDefault="00911919" w:rsidP="00911919">
                  <w:pPr>
                    <w:widowControl/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Datele cu caracter Personale a persoanei  Insotitoare desemnata de Castigator </w:t>
                  </w:r>
                  <w:r>
                    <w:rPr>
                      <w:sz w:val="20"/>
                      <w:szCs w:val="20"/>
                    </w:rPr>
                    <w:t xml:space="preserve"> ,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nume, prenume, seria și numărul CI,CNP,vor fi de asemenea prelucrate in cadrul campaniei.</w:t>
                  </w:r>
                </w:p>
              </w:tc>
            </w:tr>
            <w:tr w:rsidR="00911919" w14:paraId="7EC0115A" w14:textId="77777777" w:rsidTr="00A511BB">
              <w:trPr>
                <w:trHeight w:val="1190"/>
              </w:trPr>
              <w:tc>
                <w:tcPr>
                  <w:tcW w:w="2541" w:type="dxa"/>
                  <w:shd w:val="clear" w:color="auto" w:fill="auto"/>
                </w:tcPr>
                <w:p w14:paraId="38751554" w14:textId="15C1EB94" w:rsidR="00911919" w:rsidRDefault="00911919" w:rsidP="00911919">
                  <w:pPr>
                    <w:widowControl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6F836A1E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4287BA8B" w14:textId="1F8AEAC6" w:rsidR="00911919" w:rsidRDefault="00911919" w:rsidP="00911919">
            <w:pPr>
              <w:widowControl/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Numele si prenumele Castigatorilor se vor anunta pe postul de radio </w:t>
            </w:r>
            <w:r>
              <w:rPr>
                <w:rFonts w:ascii="Times New Roman" w:hAnsi="Times New Roman" w:cs="Times New Roman"/>
              </w:rPr>
              <w:t>PROFM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7ABC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3A38BE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Desfasurarea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9F9E93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472B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E0753" w14:textId="77777777" w:rsidR="00911919" w:rsidRDefault="00911919" w:rsidP="00911919">
            <w:pPr>
              <w:pStyle w:val="TableParagraph"/>
              <w:spacing w:before="74" w:line="228" w:lineRule="auto"/>
              <w:ind w:right="208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livrarea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faptului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respectivul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castigator nu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castigat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ultimele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concursuri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RCS&amp;RDS SA.</w:t>
            </w:r>
          </w:p>
          <w:p w14:paraId="7E0BD8A9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3BF9C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5A9306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Initierea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de Operator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judecata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legii</w:t>
            </w:r>
            <w:proofErr w:type="spellEnd"/>
          </w:p>
          <w:p w14:paraId="21C70E5F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Realizarea actiunilor de  Publicitate in vederea</w:t>
            </w:r>
          </w:p>
          <w:p w14:paraId="6C7F0709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promovarii brandurilor</w:t>
            </w:r>
          </w:p>
          <w:p w14:paraId="603DCAC5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proprii si dupa</w:t>
            </w:r>
          </w:p>
          <w:p w14:paraId="3D98D3FD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incetarea Campaniei</w:t>
            </w:r>
          </w:p>
          <w:p w14:paraId="2B096462" w14:textId="77777777" w:rsidR="00911919" w:rsidRDefault="00911919" w:rsidP="00911919">
            <w:pPr>
              <w:pStyle w:val="TableParagraph"/>
              <w:spacing w:before="74"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CC46B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B2772D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F4EB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BB01D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30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903316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491DB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C679C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F9879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necesara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stabilita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termenelor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prescriptie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893AC4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03EC1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44BE1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Castigarorilor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stocheaza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2FC171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CE98F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90729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4A59B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212DD" w14:textId="77777777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5CCF" w14:textId="77777777" w:rsidR="00911919" w:rsidRDefault="00911919" w:rsidP="00911919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39C757B4" w14:textId="77777777" w:rsidR="00911919" w:rsidRDefault="00911919" w:rsidP="00911919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2F7C5A73" w14:textId="77777777" w:rsidR="00911919" w:rsidRDefault="00911919" w:rsidP="00911919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30 zile de la data incetarii</w:t>
            </w:r>
          </w:p>
          <w:p w14:paraId="5BBA8CF3" w14:textId="50A6C13F" w:rsidR="00911919" w:rsidRDefault="00911919" w:rsidP="00911919">
            <w:pPr>
              <w:pStyle w:val="TableParagraph"/>
              <w:spacing w:before="74"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Campaniei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7511" w14:textId="77777777" w:rsidR="00911919" w:rsidRDefault="00911919" w:rsidP="00911919">
            <w:pPr>
              <w:pStyle w:val="TableParagraph"/>
              <w:spacing w:before="74" w:line="228" w:lineRule="auto"/>
              <w:ind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7C539" w14:textId="77777777" w:rsidR="00911919" w:rsidRDefault="00911919" w:rsidP="00911919">
            <w:pPr>
              <w:pStyle w:val="TableParagraph"/>
              <w:spacing w:before="74" w:line="228" w:lineRule="auto"/>
              <w:ind w:left="113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C45F074" w14:textId="77777777" w:rsidR="00911919" w:rsidRDefault="00911919" w:rsidP="00911919">
            <w:pPr>
              <w:pStyle w:val="TableParagraph"/>
              <w:spacing w:before="74" w:line="228" w:lineRule="auto"/>
              <w:ind w:left="113"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contract la 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(art.6, alin.1,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lit.b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Regulament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265653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43CA933B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Interesul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legitim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exercita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apara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cereri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instantele</w:t>
            </w:r>
            <w:proofErr w:type="spellEnd"/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judecata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autoritati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institutii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entitati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conform</w:t>
            </w:r>
            <w:r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(art.</w:t>
            </w:r>
            <w:r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alin.1,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lit.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Regulament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  <w:p w14:paraId="4D7F199F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6C4C7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7BBDE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F089E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A6E7D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8A20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C9DD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4EDC4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240D0" w14:textId="77777777" w:rsidR="00911919" w:rsidRDefault="00911919" w:rsidP="00911919">
            <w:pPr>
              <w:pStyle w:val="TableParagraph"/>
              <w:spacing w:before="74" w:line="228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D1F69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EFAF3A8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Interesul legitim al</w:t>
            </w:r>
          </w:p>
          <w:p w14:paraId="7C625F2D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Operatorului de</w:t>
            </w:r>
          </w:p>
          <w:p w14:paraId="64EA37F5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promovare a brandurilor</w:t>
            </w:r>
          </w:p>
          <w:p w14:paraId="0871A087" w14:textId="77777777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proprii (art.6, alin.1, lit.f</w:t>
            </w:r>
          </w:p>
          <w:p w14:paraId="63D2AF35" w14:textId="0A280B73" w:rsidR="00911919" w:rsidRDefault="00911919" w:rsidP="00911919">
            <w:pPr>
              <w:pStyle w:val="TableParagraph"/>
              <w:spacing w:before="74" w:line="228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Regulament)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FB4B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42EC9" w14:textId="77777777" w:rsidR="00911919" w:rsidRDefault="00911919" w:rsidP="00911919">
            <w:pPr>
              <w:pStyle w:val="TableParagraph"/>
              <w:spacing w:before="74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0B393E3" w14:textId="77777777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Organizatorul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concursului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43D2E28" w14:textId="77777777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994_2799883874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CAMPUS MEDIA TV S.R.L.,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juridică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Str. DR. STAICOVICI, Nr. 75, FORUM 2000 BUILDING, FAZA 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România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(CUI) RO 24334385,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Comerţului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 nr. J40/13933/2008 </w:t>
            </w:r>
          </w:p>
          <w:p w14:paraId="3A205AF9" w14:textId="77777777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994_27998838741"/>
            <w:bookmarkEnd w:id="1"/>
          </w:p>
          <w:p w14:paraId="064EC867" w14:textId="7C7E9A04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Furnizorul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11B47478" w14:textId="68DB482B" w:rsidR="00F209ED" w:rsidRPr="003D4603" w:rsidRDefault="00F209ED" w:rsidP="00F209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4603">
              <w:rPr>
                <w:rFonts w:ascii="Times New Roman" w:hAnsi="Times New Roman" w:cs="Times New Roman"/>
                <w:b/>
                <w:bCs/>
              </w:rPr>
              <w:t>S.C. FARGO PRODUCTION S.R.L</w:t>
            </w:r>
            <w:r w:rsidRPr="003D4603">
              <w:rPr>
                <w:rFonts w:ascii="Times New Roman" w:hAnsi="Times New Roman" w:cs="Times New Roman"/>
              </w:rPr>
              <w:t xml:space="preserve">. </w:t>
            </w:r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cu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sediul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în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București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, str.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Misca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Petre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nr. 12, et. 2, Sector 5,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înregistrată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la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Registrul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Comerțului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de pe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lângă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Tribunalul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București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sub nr. J40/6378/2008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și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avand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cod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unic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3D4603">
              <w:rPr>
                <w:rFonts w:ascii="Times New Roman" w:eastAsia="Times New Roman" w:hAnsi="Times New Roman" w:cs="Times New Roman"/>
                <w:szCs w:val="24"/>
              </w:rPr>
              <w:t>inregistrare</w:t>
            </w:r>
            <w:proofErr w:type="spellEnd"/>
            <w:r w:rsidRPr="003D4603">
              <w:rPr>
                <w:rFonts w:ascii="Times New Roman" w:eastAsia="Times New Roman" w:hAnsi="Times New Roman" w:cs="Times New Roman"/>
                <w:szCs w:val="24"/>
              </w:rPr>
              <w:t xml:space="preserve"> RO 23678712.</w:t>
            </w:r>
          </w:p>
          <w:p w14:paraId="1FE7910D" w14:textId="77777777" w:rsidR="00F209ED" w:rsidRDefault="00F209ED" w:rsidP="00911919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D4DEA" w14:textId="77777777" w:rsidR="00911919" w:rsidRDefault="00911919" w:rsidP="00911919">
            <w:pPr>
              <w:spacing w:before="74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ro-RO"/>
              </w:rPr>
              <w:t>.</w:t>
            </w:r>
          </w:p>
          <w:p w14:paraId="4312F754" w14:textId="77777777" w:rsidR="00911919" w:rsidRDefault="00911919" w:rsidP="00911919">
            <w:pPr>
              <w:pStyle w:val="TableParagraph"/>
              <w:spacing w:before="74"/>
              <w:rPr>
                <w:b/>
                <w:bCs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o-RO"/>
              </w:rPr>
              <w:t xml:space="preserve">Firma de curierat care asigura livrarea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premiilor :</w:t>
            </w:r>
          </w:p>
          <w:p w14:paraId="49A72BF4" w14:textId="77777777" w:rsidR="00911919" w:rsidRDefault="00911919" w:rsidP="00911919">
            <w:pPr>
              <w:pStyle w:val="tableparagraph0"/>
              <w:shd w:val="clear" w:color="auto" w:fill="FFFFFF"/>
              <w:spacing w:before="74" w:beforeAutospacing="0" w:after="28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 xml:space="preserve">Nemo </w:t>
            </w:r>
            <w:proofErr w:type="spellStart"/>
            <w:r>
              <w:rPr>
                <w:b/>
                <w:color w:val="333333"/>
                <w:sz w:val="20"/>
                <w:szCs w:val="20"/>
                <w:lang w:val="en-US"/>
              </w:rPr>
              <w:t>Expres</w:t>
            </w:r>
            <w:proofErr w:type="spellEnd"/>
            <w:r>
              <w:rPr>
                <w:b/>
                <w:color w:val="333333"/>
                <w:sz w:val="20"/>
                <w:szCs w:val="20"/>
                <w:lang w:val="en-US"/>
              </w:rPr>
              <w:t xml:space="preserve"> Logistic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SRL cu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sediul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Măgurele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, str.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Unirii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 nr. 11-13, </w:t>
            </w:r>
            <w:proofErr w:type="gramStart"/>
            <w:r>
              <w:rPr>
                <w:color w:val="333333"/>
                <w:sz w:val="20"/>
                <w:szCs w:val="20"/>
                <w:lang w:val="en-US"/>
              </w:rPr>
              <w:t>Ilfov,J</w:t>
            </w:r>
            <w:proofErr w:type="gramEnd"/>
            <w:r>
              <w:rPr>
                <w:color w:val="333333"/>
                <w:sz w:val="20"/>
                <w:szCs w:val="20"/>
                <w:lang w:val="en-US"/>
              </w:rPr>
              <w:t xml:space="preserve">40/6646/2013, cod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unic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color w:val="333333"/>
                <w:sz w:val="20"/>
                <w:szCs w:val="20"/>
                <w:lang w:val="en-US"/>
              </w:rPr>
              <w:t>înregistrare</w:t>
            </w:r>
            <w:proofErr w:type="spellEnd"/>
            <w:r>
              <w:rPr>
                <w:color w:val="333333"/>
                <w:sz w:val="20"/>
                <w:szCs w:val="20"/>
                <w:lang w:val="en-US"/>
              </w:rPr>
              <w:t>: RO31692750.</w:t>
            </w:r>
          </w:p>
          <w:p w14:paraId="2D4E12B3" w14:textId="77777777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7301573" w14:textId="77777777" w:rsidR="00911919" w:rsidRDefault="00911919" w:rsidP="00911919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AB3ADFF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</w:rPr>
              <w:t>Instante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</w:rPr>
              <w:t>judecata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</w:rPr>
              <w:t>organe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</w:rPr>
              <w:t>arbitraj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profesionisti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aria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insolventei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w w:val="95"/>
                <w:sz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falimentului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>executori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>judecatoresti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>societati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>recuperare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creante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debite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avocati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traducatori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experti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mediatori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institutii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de 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credit,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institutii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</w:rPr>
              <w:t>auditori</w:t>
            </w:r>
            <w:proofErr w:type="spellEnd"/>
          </w:p>
          <w:p w14:paraId="5A270BF1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20394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0153E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A226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84F3E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4C349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4961F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EB7E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375A1E82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7B667" w14:textId="77777777" w:rsidR="00911919" w:rsidRDefault="00911919" w:rsidP="009119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43F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9DD76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B336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4F310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D7B7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399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9EF5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08684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7B557DF2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DA0D5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FBED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9A93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E15D2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81961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78AD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C67E7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E7B4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7B59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F1DFA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DE6D8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DE34F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60452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0A797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A119D" w14:textId="77777777" w:rsidR="00911919" w:rsidRDefault="00911919" w:rsidP="00911919">
            <w:pPr>
              <w:pStyle w:val="TableParagraph"/>
              <w:spacing w:before="66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FA291FE" w14:textId="77777777" w:rsidR="00911919" w:rsidRDefault="00911919" w:rsidP="00911919">
            <w:pPr>
              <w:pStyle w:val="TableParagraph"/>
              <w:spacing w:before="66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AC7B4EF" w14:textId="77777777" w:rsidR="00911919" w:rsidRDefault="00911919" w:rsidP="00911919">
            <w:pPr>
              <w:pStyle w:val="TableParagraph"/>
              <w:spacing w:before="66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A7511CF" w14:textId="77777777" w:rsidR="00911919" w:rsidRDefault="00911919" w:rsidP="00911919">
            <w:pPr>
              <w:pStyle w:val="TableParagraph"/>
              <w:spacing w:before="66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 este cazul</w:t>
            </w:r>
          </w:p>
          <w:p w14:paraId="28391C00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F1C2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E7D6F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F02FC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25A88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7FD34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9A004" w14:textId="77777777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847EE" w14:textId="57AC7120" w:rsidR="00911919" w:rsidRDefault="00911919" w:rsidP="00911919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D1068B7" w14:textId="77777777" w:rsidR="00CF55B9" w:rsidRDefault="008B11C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1" allowOverlap="1" wp14:anchorId="5BBF77CB" wp14:editId="5B638ED2">
                <wp:simplePos x="0" y="0"/>
                <wp:positionH relativeFrom="column">
                  <wp:posOffset>10226675</wp:posOffset>
                </wp:positionH>
                <wp:positionV relativeFrom="paragraph">
                  <wp:posOffset>-1054735</wp:posOffset>
                </wp:positionV>
                <wp:extent cx="13335" cy="163830"/>
                <wp:effectExtent l="7620" t="5715" r="9525" b="13335"/>
                <wp:wrapNone/>
                <wp:docPr id="10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00" cy="16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56AF398" wp14:editId="430FD7E0">
                <wp:simplePos x="0" y="0"/>
                <wp:positionH relativeFrom="column">
                  <wp:posOffset>10565130</wp:posOffset>
                </wp:positionH>
                <wp:positionV relativeFrom="paragraph">
                  <wp:posOffset>-1593215</wp:posOffset>
                </wp:positionV>
                <wp:extent cx="10136505" cy="20320"/>
                <wp:effectExtent l="9525" t="13970" r="9525" b="5715"/>
                <wp:wrapNone/>
                <wp:docPr id="11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35800" cy="1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CF55B9">
      <w:headerReference w:type="default" r:id="rId6"/>
      <w:footerReference w:type="default" r:id="rId7"/>
      <w:pgSz w:w="16838" w:h="11906" w:orient="landscape"/>
      <w:pgMar w:top="120" w:right="140" w:bottom="765" w:left="180" w:header="0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A705" w14:textId="77777777" w:rsidR="00FF0222" w:rsidRDefault="00FF0222">
      <w:r>
        <w:separator/>
      </w:r>
    </w:p>
  </w:endnote>
  <w:endnote w:type="continuationSeparator" w:id="0">
    <w:p w14:paraId="6F2E1DAD" w14:textId="77777777" w:rsidR="00FF0222" w:rsidRDefault="00FF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54F" w14:textId="2E910A7E" w:rsidR="00CF55B9" w:rsidRDefault="00D34576">
    <w:pPr>
      <w:pStyle w:val="BodyText"/>
      <w:ind w:firstLine="21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CAMPUS MEDIA TV </w:t>
    </w:r>
  </w:p>
  <w:p w14:paraId="66049CCF" w14:textId="72ABAB71" w:rsidR="00CF55B9" w:rsidRDefault="008B11C4">
    <w:pPr>
      <w:pStyle w:val="BodyText"/>
      <w:spacing w:line="129" w:lineRule="exact"/>
      <w:ind w:left="21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Nr. de </w:t>
    </w:r>
    <w:proofErr w:type="spellStart"/>
    <w:r>
      <w:rPr>
        <w:rFonts w:ascii="Times New Roman" w:hAnsi="Times New Roman" w:cs="Times New Roman"/>
      </w:rPr>
      <w:t>ordine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în</w:t>
    </w:r>
    <w:proofErr w:type="spellEnd"/>
    <w:r>
      <w:rPr>
        <w:rFonts w:ascii="Times New Roman" w:hAnsi="Times New Roman" w:cs="Times New Roman"/>
      </w:rPr>
      <w:t xml:space="preserve"> Reg. Com.: </w:t>
    </w:r>
    <w:r w:rsidR="00D34576" w:rsidRPr="00EF76BE">
      <w:rPr>
        <w:rFonts w:eastAsia="Calibri"/>
        <w:iCs/>
        <w:shd w:val="clear" w:color="auto" w:fill="FFFFFF"/>
      </w:rPr>
      <w:t>J40/13933/2008</w:t>
    </w:r>
    <w:r>
      <w:rPr>
        <w:rFonts w:ascii="Times New Roman" w:hAnsi="Times New Roman" w:cs="Times New Roman"/>
      </w:rPr>
      <w:t xml:space="preserve"> | C.U.I.: </w:t>
    </w:r>
    <w:r w:rsidR="00D34576" w:rsidRPr="00EF76BE">
      <w:rPr>
        <w:rFonts w:eastAsia="Calibri"/>
        <w:iCs/>
        <w:shd w:val="clear" w:color="auto" w:fill="FFFFFF"/>
      </w:rPr>
      <w:t>24334385</w:t>
    </w:r>
    <w:r>
      <w:rPr>
        <w:rFonts w:ascii="Times New Roman" w:hAnsi="Times New Roman" w:cs="Times New Roman"/>
      </w:rPr>
      <w:t xml:space="preserve">; </w:t>
    </w:r>
    <w:proofErr w:type="spellStart"/>
    <w:r>
      <w:rPr>
        <w:rFonts w:ascii="Times New Roman" w:hAnsi="Times New Roman" w:cs="Times New Roman"/>
      </w:rPr>
      <w:t>atribut</w:t>
    </w:r>
    <w:proofErr w:type="spellEnd"/>
    <w:r>
      <w:rPr>
        <w:rFonts w:ascii="Times New Roman" w:hAnsi="Times New Roman" w:cs="Times New Roman"/>
      </w:rPr>
      <w:t xml:space="preserve"> fiscal: RO |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B830" w14:textId="77777777" w:rsidR="00FF0222" w:rsidRDefault="00FF0222">
      <w:r>
        <w:separator/>
      </w:r>
    </w:p>
  </w:footnote>
  <w:footnote w:type="continuationSeparator" w:id="0">
    <w:p w14:paraId="192D8208" w14:textId="77777777" w:rsidR="00FF0222" w:rsidRDefault="00FF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FD94" w14:textId="61525018" w:rsidR="00D34576" w:rsidRPr="00011412" w:rsidRDefault="00D34576">
    <w:pPr>
      <w:pStyle w:val="Header"/>
      <w:rPr>
        <w:color w:val="BFBFBF" w:themeColor="background1" w:themeShade="BF"/>
        <w:sz w:val="14"/>
        <w:szCs w:val="14"/>
      </w:rPr>
    </w:pPr>
  </w:p>
  <w:p w14:paraId="4EFB755B" w14:textId="4631D00C" w:rsidR="00011412" w:rsidRPr="00011412" w:rsidRDefault="00011412" w:rsidP="00011412">
    <w:pPr>
      <w:pStyle w:val="Header"/>
      <w:jc w:val="right"/>
      <w:rPr>
        <w:color w:val="BFBFBF" w:themeColor="background1" w:themeShade="BF"/>
        <w:sz w:val="14"/>
        <w:szCs w:val="14"/>
        <w:lang w:val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D88A0" wp14:editId="32A80A1D">
          <wp:simplePos x="0" y="0"/>
          <wp:positionH relativeFrom="column">
            <wp:posOffset>152400</wp:posOffset>
          </wp:positionH>
          <wp:positionV relativeFrom="paragraph">
            <wp:posOffset>13335</wp:posOffset>
          </wp:positionV>
          <wp:extent cx="463128" cy="671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28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412">
      <w:rPr>
        <w:b/>
        <w:color w:val="BFBFBF" w:themeColor="background1" w:themeShade="BF"/>
        <w:sz w:val="14"/>
        <w:szCs w:val="14"/>
        <w:lang w:val="ro-RO"/>
      </w:rPr>
      <w:t>CAMPUS MEDIA TV S.R.L.</w:t>
    </w:r>
    <w:r w:rsidRPr="00011412">
      <w:rPr>
        <w:color w:val="BFBFBF" w:themeColor="background1" w:themeShade="BF"/>
        <w:sz w:val="14"/>
        <w:szCs w:val="14"/>
        <w:lang w:val="ro-RO"/>
      </w:rPr>
      <w:t xml:space="preserve"> </w:t>
    </w:r>
  </w:p>
  <w:p w14:paraId="1FD1F74E" w14:textId="02F73151" w:rsidR="00011412" w:rsidRPr="00011412" w:rsidRDefault="00011412" w:rsidP="00011412">
    <w:pPr>
      <w:pStyle w:val="Header"/>
      <w:jc w:val="right"/>
      <w:rPr>
        <w:color w:val="BFBFBF" w:themeColor="background1" w:themeShade="BF"/>
        <w:sz w:val="14"/>
        <w:szCs w:val="14"/>
        <w:lang w:val="ro-RO"/>
      </w:rPr>
    </w:pPr>
    <w:bookmarkStart w:id="2" w:name="_Hlk83113771"/>
    <w:r w:rsidRPr="00011412">
      <w:rPr>
        <w:color w:val="BFBFBF" w:themeColor="background1" w:themeShade="BF"/>
        <w:sz w:val="14"/>
        <w:szCs w:val="14"/>
        <w:lang w:val="ro-RO"/>
      </w:rPr>
      <w:t xml:space="preserve">Bucuresti, Str. Dr. Staicovici nr. 75, Forum 2000 Building, Faza I, Etaj 5, sector 5 </w:t>
    </w:r>
  </w:p>
  <w:p w14:paraId="55093D9B" w14:textId="39D89DFD" w:rsidR="00011412" w:rsidRPr="00011412" w:rsidRDefault="00011412" w:rsidP="00011412">
    <w:pPr>
      <w:pStyle w:val="Header"/>
      <w:jc w:val="right"/>
      <w:rPr>
        <w:color w:val="BFBFBF" w:themeColor="background1" w:themeShade="BF"/>
        <w:sz w:val="14"/>
        <w:szCs w:val="14"/>
        <w:lang w:val="ro-RO"/>
      </w:rPr>
    </w:pPr>
    <w:r w:rsidRPr="00011412">
      <w:rPr>
        <w:color w:val="BFBFBF" w:themeColor="background1" w:themeShade="BF"/>
        <w:sz w:val="14"/>
        <w:szCs w:val="14"/>
        <w:lang w:val="ro-RO"/>
      </w:rPr>
      <w:t>Număr de ordine în registrul comerțului J40/13933/2008</w:t>
    </w:r>
  </w:p>
  <w:p w14:paraId="5861DBFD" w14:textId="66C6FE72" w:rsidR="00011412" w:rsidRPr="00011412" w:rsidRDefault="00011412" w:rsidP="00011412">
    <w:pPr>
      <w:pStyle w:val="Header"/>
      <w:jc w:val="right"/>
      <w:rPr>
        <w:color w:val="BFBFBF" w:themeColor="background1" w:themeShade="BF"/>
        <w:sz w:val="14"/>
        <w:szCs w:val="14"/>
      </w:rPr>
    </w:pPr>
    <w:r w:rsidRPr="00011412">
      <w:rPr>
        <w:color w:val="BFBFBF" w:themeColor="background1" w:themeShade="BF"/>
        <w:sz w:val="14"/>
        <w:szCs w:val="14"/>
        <w:lang w:val="ro-RO"/>
      </w:rPr>
      <w:t>Cod Unic de Înregistrare 24334385</w:t>
    </w:r>
    <w:bookmarkEnd w:id="2"/>
  </w:p>
  <w:p w14:paraId="0D108CEF" w14:textId="4B5CDBAF" w:rsidR="00011412" w:rsidRDefault="00011412">
    <w:pPr>
      <w:pStyle w:val="Header"/>
    </w:pPr>
  </w:p>
  <w:p w14:paraId="4464B0F3" w14:textId="6BF8C2D2" w:rsidR="00011412" w:rsidRDefault="00011412">
    <w:pPr>
      <w:pStyle w:val="Header"/>
    </w:pPr>
  </w:p>
  <w:p w14:paraId="4156DCFD" w14:textId="77777777" w:rsidR="00011412" w:rsidRDefault="00011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B9"/>
    <w:rsid w:val="00011412"/>
    <w:rsid w:val="002728E9"/>
    <w:rsid w:val="004A1001"/>
    <w:rsid w:val="00610917"/>
    <w:rsid w:val="007161FA"/>
    <w:rsid w:val="007527C0"/>
    <w:rsid w:val="0079551F"/>
    <w:rsid w:val="007A24F3"/>
    <w:rsid w:val="008B11C4"/>
    <w:rsid w:val="00911919"/>
    <w:rsid w:val="009F5A1B"/>
    <w:rsid w:val="00C1707E"/>
    <w:rsid w:val="00CF4BB0"/>
    <w:rsid w:val="00CF55B9"/>
    <w:rsid w:val="00D34576"/>
    <w:rsid w:val="00E072F3"/>
    <w:rsid w:val="00F209ED"/>
    <w:rsid w:val="00F62ECB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DCD57"/>
  <w15:docId w15:val="{6E86F662-5A41-4EFE-B00C-7752F6E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1B7A"/>
    <w:pPr>
      <w:widowControl w:val="0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uiPriority w:val="1"/>
    <w:qFormat/>
    <w:rsid w:val="004E1B7A"/>
    <w:pPr>
      <w:spacing w:before="94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63A6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13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6130C"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130C"/>
    <w:rPr>
      <w:rFonts w:ascii="Arial" w:eastAsia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30B8"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E30B8"/>
    <w:rPr>
      <w:rFonts w:ascii="Arial" w:eastAsia="Arial" w:hAnsi="Arial" w:cs="Arial"/>
    </w:rPr>
  </w:style>
  <w:style w:type="character" w:customStyle="1" w:styleId="InternetLink">
    <w:name w:val="Internet Link"/>
    <w:basedOn w:val="DefaultParagraphFont"/>
    <w:uiPriority w:val="99"/>
    <w:unhideWhenUsed/>
    <w:rsid w:val="0086641B"/>
    <w:rPr>
      <w:color w:val="0000FF" w:themeColor="hyperlink"/>
      <w:u w:val="single"/>
    </w:rPr>
  </w:style>
  <w:style w:type="character" w:customStyle="1" w:styleId="c51">
    <w:name w:val="c51"/>
    <w:basedOn w:val="DefaultParagraphFont"/>
    <w:qFormat/>
    <w:rsid w:val="0038556F"/>
    <w:rPr>
      <w:rFonts w:ascii="Times New Roman" w:hAnsi="Times New Roman" w:cs="Times New Roman"/>
      <w:color w:val="333333"/>
      <w:sz w:val="23"/>
      <w:szCs w:val="23"/>
      <w:shd w:val="clear" w:color="auto" w:fill="FFFFFF"/>
    </w:rPr>
  </w:style>
  <w:style w:type="character" w:customStyle="1" w:styleId="c110">
    <w:name w:val="c110"/>
    <w:basedOn w:val="DefaultParagraphFont"/>
    <w:qFormat/>
    <w:rsid w:val="0038556F"/>
    <w:rPr>
      <w:rFonts w:ascii="Times New Roman" w:hAnsi="Times New Roman" w:cs="Times New Roman"/>
      <w:color w:val="333333"/>
      <w:sz w:val="23"/>
      <w:szCs w:val="23"/>
      <w:shd w:val="clear" w:color="auto" w:fill="FFFFFF"/>
    </w:rPr>
  </w:style>
  <w:style w:type="character" w:customStyle="1" w:styleId="s1">
    <w:name w:val="s1"/>
    <w:qFormat/>
    <w:rsid w:val="0023743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sid w:val="004E1B7A"/>
    <w:rPr>
      <w:sz w:val="12"/>
      <w:szCs w:val="12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4E1B7A"/>
  </w:style>
  <w:style w:type="paragraph" w:customStyle="1" w:styleId="TableParagraph">
    <w:name w:val="Table Paragraph"/>
    <w:basedOn w:val="Normal"/>
    <w:uiPriority w:val="1"/>
    <w:qFormat/>
    <w:rsid w:val="004E1B7A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63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6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6130C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E30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8E30B8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BC1A13"/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tableparagraph0">
    <w:name w:val="tableparagraph"/>
    <w:basedOn w:val="Normal"/>
    <w:qFormat/>
    <w:rsid w:val="0007613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FLORIN-BOGDAN CONSTANTINESCU</dc:creator>
  <dc:description/>
  <cp:lastModifiedBy>Florentina Panait</cp:lastModifiedBy>
  <cp:revision>2</cp:revision>
  <dcterms:created xsi:type="dcterms:W3CDTF">2022-08-31T12:12:00Z</dcterms:created>
  <dcterms:modified xsi:type="dcterms:W3CDTF">2022-08-31T12:12:00Z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2018-05-23T00:00:00Z</vt:filetime>
  </property>
  <property fmtid="{D5CDD505-2E9C-101B-9397-08002B2CF9AE}" pid="4" name="Creator">
    <vt:lpwstr>Adobe InDesign CC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